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Timrå kommunfullmäktige</w:t>
      </w:r>
    </w:p>
    <w:p>
      <w:pPr>
        <w:pStyle w:val="Heading1"/>
      </w:pPr>
      <w:r>
        <w:t xml:space="preserve">Tryggare cykelvägar i Timrå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Timrå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Endast 18 % av Timrås skolbarn cyklar till skolan (enkät 2023). E4-passagen och centrum saknar separata cykelbanor, vilket ökar olycksrisken enligt Trafikverkets statistik.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Timrå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bygga separata cykelbanor längs E4 genom centrala Timrå senast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anslå 3 miljoner kronor per år till cykelvägsunderhåll.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cykelräknare vid skolor och idrottsanläggningar.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ta fram en cykelplan med mål om 30 % cykelresor 2030.</w:t>
      </w:r>
    </w:p>
    <w:p>
      <w:pPr>
        <w:spacing w:before="360"/>
      </w:pPr>
    </w:p>
    <w:p>
      <w:r>
        <w:t xml:space="preserve">Timrå,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Timrå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2026-07-14T05:20:40.892Z</dcterms:created>
  <dcterms:modified xsi:type="dcterms:W3CDTF">2026-07-14T05:20:40.892Z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